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157C" w14:textId="482ACB57" w:rsidR="00D353B7" w:rsidRDefault="00D97A99">
      <w:pPr>
        <w:pStyle w:val="Tekstpodstawowy"/>
        <w:spacing w:before="264"/>
        <w:rPr>
          <w:sz w:val="24"/>
        </w:rPr>
      </w:pPr>
      <w:r w:rsidRPr="0033296F">
        <w:rPr>
          <w:b/>
          <w:color w:val="231F20"/>
          <w:highlight w:val="cyan"/>
        </w:rPr>
        <w:t>ProbiotiQ</w:t>
      </w:r>
      <w:r w:rsidRPr="0033296F">
        <w:rPr>
          <w:b/>
          <w:color w:val="231F20"/>
          <w:highlight w:val="cyan"/>
        </w:rPr>
        <w:t xml:space="preserve"> </w:t>
      </w:r>
      <w:r w:rsidRPr="0033296F">
        <w:rPr>
          <w:color w:val="231F20"/>
          <w:highlight w:val="cyan"/>
        </w:rPr>
        <w:t>suplement diety</w:t>
      </w:r>
    </w:p>
    <w:p w14:paraId="16FDA960" w14:textId="77777777" w:rsidR="00D97A99" w:rsidRDefault="00D97A99">
      <w:pPr>
        <w:pStyle w:val="Tekstpodstawowy"/>
        <w:spacing w:before="132" w:line="302" w:lineRule="auto"/>
        <w:ind w:left="126" w:right="104"/>
        <w:jc w:val="both"/>
        <w:rPr>
          <w:b/>
          <w:color w:val="231F20"/>
        </w:rPr>
      </w:pPr>
    </w:p>
    <w:p w14:paraId="27A96359" w14:textId="77777777" w:rsidR="0033296F" w:rsidRDefault="0033296F" w:rsidP="00D97A99">
      <w:pPr>
        <w:pStyle w:val="Tekstpodstawowy"/>
        <w:spacing w:before="132" w:line="302" w:lineRule="auto"/>
        <w:ind w:right="104"/>
        <w:jc w:val="both"/>
        <w:rPr>
          <w:color w:val="231F20"/>
        </w:rPr>
      </w:pPr>
      <w:r>
        <w:rPr>
          <w:b/>
          <w:color w:val="231F20"/>
        </w:rPr>
        <w:t xml:space="preserve">ProbiotiQ </w:t>
      </w:r>
      <w:r>
        <w:rPr>
          <w:color w:val="231F20"/>
        </w:rPr>
        <w:t>to suplement diety zawierający w swoim składzi</w:t>
      </w:r>
      <w:r>
        <w:rPr>
          <w:color w:val="231F20"/>
        </w:rPr>
        <w:t xml:space="preserve">e szczep drożdży </w:t>
      </w:r>
      <w:r>
        <w:rPr>
          <w:i/>
          <w:color w:val="231F20"/>
        </w:rPr>
        <w:t xml:space="preserve">Saccharomyces Boulardii. </w:t>
      </w:r>
      <w:r>
        <w:rPr>
          <w:color w:val="231F20"/>
        </w:rPr>
        <w:t>Produkt zawiera także Fruktooligosacharydy (FOS) i błonnik akacjowy, które stanowią pożywkę dla dobroczynnych bakterii znajdujących się w układzie pokarmowym.</w:t>
      </w:r>
      <w:r w:rsidR="001D67C9">
        <w:rPr>
          <w:color w:val="231F20"/>
        </w:rPr>
        <w:t xml:space="preserve"> </w:t>
      </w:r>
      <w:r w:rsidR="004D5BC5">
        <w:rPr>
          <w:color w:val="231F20"/>
        </w:rPr>
        <w:t xml:space="preserve">                                    </w:t>
      </w:r>
    </w:p>
    <w:p w14:paraId="3FD0157E" w14:textId="42573C19" w:rsidR="00D353B7" w:rsidRDefault="00332E98" w:rsidP="00D97A99">
      <w:pPr>
        <w:pStyle w:val="Tekstpodstawowy"/>
        <w:spacing w:before="132" w:line="302" w:lineRule="auto"/>
        <w:ind w:right="104"/>
        <w:jc w:val="both"/>
        <w:rPr>
          <w:color w:val="231F20"/>
        </w:rPr>
      </w:pPr>
      <w:r>
        <w:rPr>
          <w:color w:val="231F20"/>
        </w:rPr>
        <w:t>Produkt przeznaczony do stosowania w trakcie i po zakończeniu antybioty</w:t>
      </w:r>
      <w:r w:rsidR="00D90CB8">
        <w:rPr>
          <w:color w:val="231F20"/>
        </w:rPr>
        <w:t>koterapii w celu uzupełnienia mikroflory jelitowej.</w:t>
      </w:r>
      <w:r w:rsidR="004C4AA2">
        <w:rPr>
          <w:color w:val="231F20"/>
        </w:rPr>
        <w:t xml:space="preserve"> Zalecany jest również przed i w trakcie podróży </w:t>
      </w:r>
      <w:r w:rsidR="000B3763">
        <w:rPr>
          <w:color w:val="231F20"/>
        </w:rPr>
        <w:t>w tym zwłaszcza do innych stref klimatycznych, gdy dochodzi do zmiany diety</w:t>
      </w:r>
      <w:r w:rsidR="004D5BC5">
        <w:rPr>
          <w:color w:val="231F20"/>
        </w:rPr>
        <w:t xml:space="preserve"> oraz zetknięcia się z odmienną florą bakteryjną.</w:t>
      </w:r>
    </w:p>
    <w:p w14:paraId="3FD0157F" w14:textId="77777777" w:rsidR="00D353B7" w:rsidRDefault="0033296F" w:rsidP="00D97A99">
      <w:pPr>
        <w:pStyle w:val="Tekstpodstawowy"/>
        <w:spacing w:before="197"/>
        <w:jc w:val="both"/>
      </w:pPr>
      <w:r>
        <w:rPr>
          <w:color w:val="231F20"/>
        </w:rPr>
        <w:t>Produkt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przeznaczony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dzieci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powyżej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roku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życia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osób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dorosłych.</w:t>
      </w:r>
    </w:p>
    <w:p w14:paraId="3FD01580" w14:textId="77777777" w:rsidR="00D353B7" w:rsidRDefault="00D353B7">
      <w:pPr>
        <w:pStyle w:val="Tekstpodstawowy"/>
      </w:pPr>
    </w:p>
    <w:p w14:paraId="13A17FF4" w14:textId="1C7A0911" w:rsidR="000F75EA" w:rsidRPr="000F75EA" w:rsidRDefault="000F75EA" w:rsidP="00D97A99">
      <w:pPr>
        <w:pStyle w:val="Tekstpodstawowy"/>
        <w:spacing w:before="137" w:line="232" w:lineRule="auto"/>
        <w:ind w:right="104"/>
        <w:jc w:val="both"/>
        <w:rPr>
          <w:b/>
          <w:bCs/>
          <w:color w:val="231F20"/>
        </w:rPr>
      </w:pPr>
      <w:r w:rsidRPr="000F75EA">
        <w:rPr>
          <w:b/>
          <w:bCs/>
          <w:color w:val="231F20"/>
        </w:rPr>
        <w:t>Składniki</w:t>
      </w:r>
    </w:p>
    <w:p w14:paraId="3FD01583" w14:textId="42536048" w:rsidR="00D353B7" w:rsidRDefault="0033296F" w:rsidP="00D97A99">
      <w:pPr>
        <w:pStyle w:val="Tekstpodstawowy"/>
        <w:spacing w:before="137" w:line="232" w:lineRule="auto"/>
        <w:ind w:right="104"/>
        <w:jc w:val="both"/>
      </w:pPr>
      <w:r>
        <w:rPr>
          <w:color w:val="231F20"/>
        </w:rPr>
        <w:t xml:space="preserve">Drożdże </w:t>
      </w:r>
      <w:r>
        <w:rPr>
          <w:i/>
          <w:color w:val="231F20"/>
        </w:rPr>
        <w:t>Saccharomyces Boulardii</w:t>
      </w:r>
      <w:r>
        <w:rPr>
          <w:color w:val="231F20"/>
        </w:rPr>
        <w:t>, fruktooligosacharydy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(FOS), błonnik akacjowy, selenian (VI) sodu (selen), składnik otoczki kapsułki: hydroksypropylometyloceluloza.</w:t>
      </w:r>
    </w:p>
    <w:p w14:paraId="71940F9B" w14:textId="77777777" w:rsidR="00D353B7" w:rsidRDefault="00D353B7"/>
    <w:p w14:paraId="2BD2B644" w14:textId="77777777" w:rsidR="001206E9" w:rsidRDefault="001206E9"/>
    <w:p w14:paraId="3FD01586" w14:textId="4E980D45" w:rsidR="00464654" w:rsidRPr="000F75EA" w:rsidRDefault="00464654" w:rsidP="001A7C78">
      <w:pPr>
        <w:pStyle w:val="Tekstpodstawowy"/>
        <w:spacing w:before="132"/>
        <w:rPr>
          <w:b/>
          <w:bCs/>
          <w:color w:val="231F20"/>
        </w:rPr>
        <w:sectPr w:rsidR="00464654" w:rsidRPr="000F75EA">
          <w:footerReference w:type="default" r:id="rId6"/>
          <w:type w:val="continuous"/>
          <w:pgSz w:w="9080" w:h="11910"/>
          <w:pgMar w:top="600" w:right="460" w:bottom="560" w:left="440" w:header="0" w:footer="367" w:gutter="0"/>
          <w:pgNumType w:start="1"/>
          <w:cols w:space="708"/>
        </w:sectPr>
      </w:pPr>
      <w:r w:rsidRPr="000F75EA">
        <w:rPr>
          <w:b/>
          <w:bCs/>
          <w:color w:val="231F20"/>
        </w:rPr>
        <w:t>Skład zalecanej porcji dziennej</w:t>
      </w:r>
    </w:p>
    <w:p w14:paraId="4D17A1CE" w14:textId="77777777" w:rsidR="00AD7C4D" w:rsidRPr="000F75EA" w:rsidRDefault="00AD7C4D" w:rsidP="001A7C78">
      <w:pPr>
        <w:pStyle w:val="Nagwek2"/>
        <w:rPr>
          <w:b w:val="0"/>
          <w:bCs w:val="0"/>
          <w:u w:val="single"/>
        </w:rPr>
      </w:pPr>
      <w:r w:rsidRPr="000F75EA">
        <w:rPr>
          <w:b w:val="0"/>
          <w:bCs w:val="0"/>
          <w:color w:val="231F20"/>
          <w:spacing w:val="-2"/>
          <w:u w:val="single"/>
        </w:rPr>
        <w:t>Składniki</w:t>
      </w:r>
    </w:p>
    <w:p w14:paraId="1EA74AE2" w14:textId="77777777" w:rsidR="00AD7C4D" w:rsidRDefault="00AD7C4D" w:rsidP="001A7C78">
      <w:pPr>
        <w:spacing w:before="53" w:line="302" w:lineRule="auto"/>
        <w:rPr>
          <w:sz w:val="18"/>
        </w:rPr>
      </w:pPr>
      <w:r>
        <w:rPr>
          <w:i/>
          <w:color w:val="231F20"/>
          <w:sz w:val="18"/>
        </w:rPr>
        <w:t xml:space="preserve">Saccharomyces Boulardii </w:t>
      </w:r>
      <w:r>
        <w:rPr>
          <w:color w:val="231F20"/>
          <w:sz w:val="18"/>
        </w:rPr>
        <w:t>fruktooligosacharydy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(FOS) błonnik akacjowy</w:t>
      </w:r>
    </w:p>
    <w:p w14:paraId="12F07AEC" w14:textId="77777777" w:rsidR="00AD7C4D" w:rsidRDefault="00AD7C4D" w:rsidP="001A7C78">
      <w:pPr>
        <w:pStyle w:val="Tekstpodstawowy"/>
        <w:spacing w:line="205" w:lineRule="exact"/>
      </w:pPr>
      <w:r>
        <w:rPr>
          <w:color w:val="231F20"/>
          <w:spacing w:val="-2"/>
        </w:rPr>
        <w:t>selen</w:t>
      </w:r>
    </w:p>
    <w:p w14:paraId="2EA879C4" w14:textId="77777777" w:rsidR="00AD7C4D" w:rsidRPr="000F75EA" w:rsidRDefault="00AD7C4D" w:rsidP="00AD7C4D">
      <w:pPr>
        <w:pStyle w:val="Nagwek2"/>
        <w:ind w:right="2830"/>
        <w:jc w:val="right"/>
        <w:rPr>
          <w:b w:val="0"/>
          <w:bCs w:val="0"/>
          <w:u w:val="single"/>
        </w:rPr>
      </w:pPr>
      <w:r>
        <w:rPr>
          <w:b w:val="0"/>
        </w:rPr>
        <w:br w:type="column"/>
      </w:r>
      <w:r w:rsidRPr="000F75EA">
        <w:rPr>
          <w:b w:val="0"/>
          <w:bCs w:val="0"/>
          <w:color w:val="231F20"/>
          <w:u w:val="single"/>
        </w:rPr>
        <w:t>1</w:t>
      </w:r>
      <w:r w:rsidRPr="000F75EA">
        <w:rPr>
          <w:b w:val="0"/>
          <w:bCs w:val="0"/>
          <w:color w:val="231F20"/>
          <w:spacing w:val="5"/>
          <w:u w:val="single"/>
        </w:rPr>
        <w:t xml:space="preserve"> </w:t>
      </w:r>
      <w:r w:rsidRPr="000F75EA">
        <w:rPr>
          <w:b w:val="0"/>
          <w:bCs w:val="0"/>
          <w:color w:val="231F20"/>
          <w:spacing w:val="-2"/>
          <w:u w:val="single"/>
        </w:rPr>
        <w:t>kapsułka</w:t>
      </w:r>
    </w:p>
    <w:p w14:paraId="1054195D" w14:textId="77777777" w:rsidR="00AD7C4D" w:rsidRDefault="00AD7C4D" w:rsidP="00AD7C4D">
      <w:pPr>
        <w:pStyle w:val="Tekstpodstawowy"/>
        <w:spacing w:before="53"/>
        <w:ind w:right="2830"/>
        <w:jc w:val="right"/>
      </w:pPr>
      <w:r>
        <w:rPr>
          <w:color w:val="231F20"/>
          <w:w w:val="105"/>
        </w:rPr>
        <w:t>250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(2x10</w:t>
      </w:r>
      <w:r>
        <w:rPr>
          <w:color w:val="231F20"/>
          <w:w w:val="105"/>
          <w:position w:val="6"/>
          <w:sz w:val="10"/>
        </w:rPr>
        <w:t>10</w:t>
      </w:r>
      <w:r>
        <w:rPr>
          <w:color w:val="231F20"/>
          <w:spacing w:val="19"/>
          <w:w w:val="105"/>
          <w:position w:val="6"/>
          <w:sz w:val="10"/>
        </w:rPr>
        <w:t xml:space="preserve"> </w:t>
      </w:r>
      <w:r>
        <w:rPr>
          <w:color w:val="231F20"/>
          <w:spacing w:val="-2"/>
          <w:w w:val="105"/>
        </w:rPr>
        <w:t>CFU/g*)</w:t>
      </w:r>
    </w:p>
    <w:p w14:paraId="055DD15E" w14:textId="77777777" w:rsidR="00AD7C4D" w:rsidRDefault="00AD7C4D" w:rsidP="00AD7C4D">
      <w:pPr>
        <w:pStyle w:val="Tekstpodstawowy"/>
        <w:spacing w:before="53"/>
        <w:ind w:right="2830"/>
        <w:jc w:val="right"/>
      </w:pPr>
      <w:r>
        <w:rPr>
          <w:color w:val="231F20"/>
          <w:w w:val="105"/>
        </w:rPr>
        <w:t>82,50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5"/>
          <w:w w:val="105"/>
        </w:rPr>
        <w:t>mg</w:t>
      </w:r>
    </w:p>
    <w:p w14:paraId="7B35A8AF" w14:textId="77777777" w:rsidR="00AD7C4D" w:rsidRDefault="00AD7C4D" w:rsidP="00AD7C4D">
      <w:pPr>
        <w:pStyle w:val="Tekstpodstawowy"/>
        <w:spacing w:before="53"/>
        <w:ind w:right="2830"/>
        <w:jc w:val="right"/>
      </w:pPr>
      <w:r>
        <w:rPr>
          <w:color w:val="231F20"/>
          <w:w w:val="105"/>
        </w:rPr>
        <w:t>12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5"/>
          <w:w w:val="105"/>
        </w:rPr>
        <w:t>mg</w:t>
      </w:r>
    </w:p>
    <w:p w14:paraId="549541DA" w14:textId="77777777" w:rsidR="00AD7C4D" w:rsidRDefault="00AD7C4D" w:rsidP="00AD7C4D">
      <w:pPr>
        <w:pStyle w:val="Tekstpodstawowy"/>
        <w:spacing w:before="53"/>
        <w:ind w:right="2830"/>
        <w:jc w:val="right"/>
      </w:pPr>
      <w:r>
        <w:rPr>
          <w:color w:val="231F20"/>
          <w:w w:val="105"/>
        </w:rPr>
        <w:t>55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mcg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(100%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RWS**)</w:t>
      </w:r>
    </w:p>
    <w:p w14:paraId="7D0C20D5" w14:textId="77777777" w:rsidR="00AD7C4D" w:rsidRDefault="00AD7C4D" w:rsidP="00AD7C4D">
      <w:pPr>
        <w:jc w:val="right"/>
        <w:sectPr w:rsidR="00AD7C4D" w:rsidSect="00AD7C4D">
          <w:type w:val="continuous"/>
          <w:pgSz w:w="9080" w:h="11910"/>
          <w:pgMar w:top="600" w:right="460" w:bottom="560" w:left="440" w:header="0" w:footer="367" w:gutter="0"/>
          <w:cols w:num="2" w:space="708" w:equalWidth="0">
            <w:col w:w="2370" w:space="884"/>
            <w:col w:w="4926"/>
          </w:cols>
        </w:sectPr>
      </w:pPr>
    </w:p>
    <w:p w14:paraId="55548702" w14:textId="77777777" w:rsidR="00AD7C4D" w:rsidRDefault="00AD7C4D" w:rsidP="00AD7C4D">
      <w:pPr>
        <w:pStyle w:val="Tekstpodstawowy"/>
        <w:spacing w:before="80"/>
      </w:pPr>
    </w:p>
    <w:p w14:paraId="26CC4CD7" w14:textId="77777777" w:rsidR="00AD7C4D" w:rsidRDefault="00AD7C4D" w:rsidP="00AD7C4D">
      <w:pPr>
        <w:spacing w:before="1"/>
        <w:ind w:left="126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sz w:val="18"/>
        </w:rPr>
        <w:t>*CFU</w:t>
      </w:r>
      <w:r>
        <w:rPr>
          <w:rFonts w:ascii="Trebuchet MS" w:hAnsi="Trebuchet MS"/>
          <w:i/>
          <w:color w:val="231F20"/>
          <w:spacing w:val="8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–</w:t>
      </w:r>
      <w:r>
        <w:rPr>
          <w:rFonts w:ascii="Trebuchet MS" w:hAnsi="Trebuchet MS"/>
          <w:i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Colony</w:t>
      </w:r>
      <w:r>
        <w:rPr>
          <w:rFonts w:ascii="Trebuchet MS" w:hAnsi="Trebuchet MS"/>
          <w:i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Forming</w:t>
      </w:r>
      <w:r>
        <w:rPr>
          <w:rFonts w:ascii="Trebuchet MS" w:hAnsi="Trebuchet MS"/>
          <w:i/>
          <w:color w:val="231F20"/>
          <w:spacing w:val="1"/>
          <w:sz w:val="18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8"/>
        </w:rPr>
        <w:t>Units</w:t>
      </w:r>
      <w:proofErr w:type="spellEnd"/>
      <w:r>
        <w:rPr>
          <w:rFonts w:ascii="Trebuchet MS" w:hAnsi="Trebuchet MS"/>
          <w:i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–</w:t>
      </w:r>
      <w:r>
        <w:rPr>
          <w:rFonts w:ascii="Trebuchet MS" w:hAnsi="Trebuchet MS"/>
          <w:i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jednostka</w:t>
      </w:r>
      <w:r>
        <w:rPr>
          <w:rFonts w:ascii="Trebuchet MS" w:hAnsi="Trebuchet MS"/>
          <w:i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tworząca</w:t>
      </w:r>
      <w:r>
        <w:rPr>
          <w:rFonts w:ascii="Trebuchet MS" w:hAnsi="Trebuchet MS"/>
          <w:i/>
          <w:color w:val="231F20"/>
          <w:spacing w:val="2"/>
          <w:sz w:val="18"/>
        </w:rPr>
        <w:t xml:space="preserve"> </w:t>
      </w:r>
      <w:r>
        <w:rPr>
          <w:rFonts w:ascii="Trebuchet MS" w:hAnsi="Trebuchet MS"/>
          <w:i/>
          <w:color w:val="231F20"/>
          <w:spacing w:val="-2"/>
          <w:sz w:val="18"/>
        </w:rPr>
        <w:t>kolonię</w:t>
      </w:r>
    </w:p>
    <w:p w14:paraId="06ACAA47" w14:textId="77777777" w:rsidR="00AD7C4D" w:rsidRDefault="00AD7C4D" w:rsidP="00AD7C4D">
      <w:pPr>
        <w:spacing w:before="51"/>
        <w:ind w:left="126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231F20"/>
          <w:sz w:val="18"/>
        </w:rPr>
        <w:t>**RWS</w:t>
      </w:r>
      <w:r>
        <w:rPr>
          <w:rFonts w:ascii="Trebuchet MS" w:hAnsi="Trebuchet MS"/>
          <w:i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–</w:t>
      </w:r>
      <w:r>
        <w:rPr>
          <w:rFonts w:ascii="Trebuchet MS" w:hAnsi="Trebuchet MS"/>
          <w:i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Referencyjne</w:t>
      </w:r>
      <w:r>
        <w:rPr>
          <w:rFonts w:ascii="Trebuchet MS" w:hAnsi="Trebuchet MS"/>
          <w:i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i/>
          <w:color w:val="231F20"/>
          <w:sz w:val="18"/>
        </w:rPr>
        <w:t>Wartości</w:t>
      </w:r>
      <w:r>
        <w:rPr>
          <w:rFonts w:ascii="Trebuchet MS" w:hAnsi="Trebuchet MS"/>
          <w:i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i/>
          <w:color w:val="231F20"/>
          <w:spacing w:val="-2"/>
          <w:sz w:val="18"/>
        </w:rPr>
        <w:t>Spożycia</w:t>
      </w:r>
    </w:p>
    <w:p w14:paraId="3FD01596" w14:textId="77777777" w:rsidR="00D353B7" w:rsidRDefault="00D353B7">
      <w:pPr>
        <w:spacing w:line="302" w:lineRule="auto"/>
        <w:jc w:val="both"/>
        <w:sectPr w:rsidR="00D353B7">
          <w:type w:val="continuous"/>
          <w:pgSz w:w="9080" w:h="11910"/>
          <w:pgMar w:top="600" w:right="460" w:bottom="560" w:left="440" w:header="0" w:footer="367" w:gutter="0"/>
          <w:cols w:space="708"/>
        </w:sectPr>
      </w:pPr>
    </w:p>
    <w:p w14:paraId="296E85F6" w14:textId="10F0E4C8" w:rsidR="00A33AD7" w:rsidRPr="00A33AD7" w:rsidRDefault="00A33AD7">
      <w:pPr>
        <w:pStyle w:val="Tekstpodstawowy"/>
        <w:spacing w:before="132"/>
        <w:ind w:left="126"/>
        <w:jc w:val="both"/>
        <w:rPr>
          <w:b/>
          <w:bCs/>
          <w:color w:val="231F20"/>
        </w:rPr>
      </w:pPr>
      <w:r w:rsidRPr="00A33AD7">
        <w:rPr>
          <w:b/>
          <w:bCs/>
          <w:color w:val="231F20"/>
        </w:rPr>
        <w:lastRenderedPageBreak/>
        <w:t>Zalecana dzienna porcja:</w:t>
      </w:r>
    </w:p>
    <w:p w14:paraId="3FD01598" w14:textId="4BEEF65F" w:rsidR="00D353B7" w:rsidRDefault="0033296F">
      <w:pPr>
        <w:pStyle w:val="Tekstpodstawowy"/>
        <w:spacing w:before="132"/>
        <w:ind w:left="126"/>
        <w:jc w:val="both"/>
      </w:pP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kapsułka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dziennie.</w:t>
      </w:r>
    </w:p>
    <w:p w14:paraId="66EA7748" w14:textId="77777777" w:rsidR="00A33AD7" w:rsidRDefault="00A33AD7">
      <w:pPr>
        <w:pStyle w:val="Tekstpodstawowy"/>
        <w:spacing w:before="132" w:line="302" w:lineRule="auto"/>
        <w:ind w:left="126" w:right="104"/>
        <w:jc w:val="both"/>
        <w:rPr>
          <w:b/>
          <w:bCs/>
          <w:color w:val="231F20"/>
        </w:rPr>
      </w:pPr>
    </w:p>
    <w:p w14:paraId="1BA79B5C" w14:textId="7CF89148" w:rsidR="000F33B9" w:rsidRPr="000F33B9" w:rsidRDefault="000F33B9">
      <w:pPr>
        <w:pStyle w:val="Tekstpodstawowy"/>
        <w:spacing w:before="132" w:line="302" w:lineRule="auto"/>
        <w:ind w:left="126" w:right="104"/>
        <w:jc w:val="both"/>
        <w:rPr>
          <w:b/>
          <w:bCs/>
          <w:color w:val="231F20"/>
        </w:rPr>
      </w:pPr>
      <w:r w:rsidRPr="000F33B9">
        <w:rPr>
          <w:b/>
          <w:bCs/>
          <w:color w:val="231F20"/>
        </w:rPr>
        <w:t>Sposób użycia:</w:t>
      </w:r>
    </w:p>
    <w:p w14:paraId="3FD0159B" w14:textId="2B31416C" w:rsidR="00D353B7" w:rsidRDefault="0033296F">
      <w:pPr>
        <w:pStyle w:val="Tekstpodstawowy"/>
        <w:spacing w:before="132" w:line="302" w:lineRule="auto"/>
        <w:ind w:left="126" w:right="104"/>
        <w:jc w:val="both"/>
      </w:pPr>
      <w:r>
        <w:rPr>
          <w:color w:val="231F20"/>
        </w:rPr>
        <w:t>Kapsułkę należy połknąć i popić letnią wodą. U dzieci w wieku poniżej 6 lat nie jest wskazane stosowanie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kapsułek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względu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możliwość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zadławienia;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zaleca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otwieranie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kapsułek i dodawanie ich zawartości do napoju lub pokarmu.</w:t>
      </w:r>
    </w:p>
    <w:p w14:paraId="63655370" w14:textId="4F70316D" w:rsidR="000F33B9" w:rsidRPr="000F33B9" w:rsidRDefault="000F33B9">
      <w:pPr>
        <w:pStyle w:val="Tekstpodstawowy"/>
        <w:spacing w:before="132" w:line="302" w:lineRule="auto"/>
        <w:ind w:left="126" w:right="104"/>
        <w:jc w:val="both"/>
        <w:rPr>
          <w:b/>
          <w:bCs/>
          <w:color w:val="231F20"/>
        </w:rPr>
      </w:pPr>
      <w:r w:rsidRPr="000F33B9">
        <w:rPr>
          <w:b/>
          <w:bCs/>
          <w:color w:val="231F20"/>
        </w:rPr>
        <w:t>Ostrzeżenia:</w:t>
      </w:r>
    </w:p>
    <w:p w14:paraId="3FD0159E" w14:textId="7E7A9CB6" w:rsidR="00D353B7" w:rsidRDefault="0033296F" w:rsidP="00B203A7">
      <w:pPr>
        <w:pStyle w:val="Tekstpodstawowy"/>
        <w:spacing w:before="132" w:line="302" w:lineRule="auto"/>
        <w:ind w:left="126" w:right="104"/>
        <w:jc w:val="both"/>
      </w:pPr>
      <w:r>
        <w:rPr>
          <w:color w:val="231F20"/>
        </w:rPr>
        <w:t>Suplement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dzieci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powyżej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roku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życia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osób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dorosłych.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Suplement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diety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może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być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stosowany </w:t>
      </w:r>
      <w:r>
        <w:rPr>
          <w:color w:val="231F20"/>
          <w:spacing w:val="-4"/>
          <w:w w:val="105"/>
        </w:rPr>
        <w:t>jako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substytut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(zamiennik)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zróżnicowanej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diety.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Nie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należy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przekraczać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zalecanej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dziennej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>porcji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do </w:t>
      </w:r>
      <w:r>
        <w:rPr>
          <w:color w:val="231F20"/>
          <w:spacing w:val="-2"/>
          <w:w w:val="105"/>
        </w:rPr>
        <w:t>spożycia.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Nie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stosować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preparatu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przypadku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nadwrażliwości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którykolwiek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z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jego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składników. </w:t>
      </w:r>
      <w:r>
        <w:rPr>
          <w:color w:val="231F20"/>
          <w:spacing w:val="-4"/>
        </w:rPr>
        <w:t>ProbiotiQ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zawiera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żywe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komórki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drożdży.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tego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powodu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należy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mieszać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zbyt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gorącymi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(ponad </w:t>
      </w:r>
      <w:r>
        <w:rPr>
          <w:color w:val="231F20"/>
        </w:rPr>
        <w:t>50°C)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zimnymi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płynami,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potrawami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alkoholem,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ponieważ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mogłoby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zniszczyć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komórki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drożdży.</w:t>
      </w:r>
    </w:p>
    <w:p w14:paraId="3E2E9EB3" w14:textId="486A302B" w:rsidR="00046FDC" w:rsidRPr="00046FDC" w:rsidRDefault="00046FDC">
      <w:pPr>
        <w:pStyle w:val="Tekstpodstawowy"/>
        <w:spacing w:before="132"/>
        <w:ind w:left="117"/>
        <w:jc w:val="both"/>
        <w:rPr>
          <w:b/>
          <w:bCs/>
          <w:color w:val="231F20"/>
        </w:rPr>
      </w:pPr>
      <w:r w:rsidRPr="00046FDC">
        <w:rPr>
          <w:b/>
          <w:bCs/>
          <w:color w:val="231F20"/>
        </w:rPr>
        <w:t>Informacje dodatkowe:</w:t>
      </w:r>
    </w:p>
    <w:p w14:paraId="3FD0159F" w14:textId="76F3C4E6" w:rsidR="00D353B7" w:rsidRDefault="0033296F">
      <w:pPr>
        <w:pStyle w:val="Tekstpodstawowy"/>
        <w:spacing w:before="132"/>
        <w:ind w:left="117"/>
        <w:jc w:val="both"/>
      </w:pPr>
      <w:r>
        <w:rPr>
          <w:color w:val="231F20"/>
        </w:rPr>
        <w:t>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względu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użyte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surowce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kapsułka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może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przebarwiać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wpływa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jakość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produktu.</w:t>
      </w:r>
    </w:p>
    <w:p w14:paraId="6A9C980C" w14:textId="00D59462" w:rsidR="00B44C3C" w:rsidRDefault="00B44C3C" w:rsidP="00B44C3C">
      <w:pPr>
        <w:pStyle w:val="Tekstpodstawowy"/>
        <w:spacing w:line="302" w:lineRule="auto"/>
        <w:ind w:right="6518"/>
        <w:rPr>
          <w:color w:val="231F20"/>
        </w:rPr>
      </w:pPr>
      <w:r>
        <w:t xml:space="preserve">  </w:t>
      </w:r>
      <w:r w:rsidR="0033296F">
        <w:rPr>
          <w:color w:val="231F20"/>
        </w:rPr>
        <w:t>Masa</w:t>
      </w:r>
      <w:r w:rsidR="0033296F">
        <w:rPr>
          <w:color w:val="231F20"/>
          <w:spacing w:val="-9"/>
        </w:rPr>
        <w:t xml:space="preserve"> </w:t>
      </w:r>
      <w:r w:rsidR="0033296F">
        <w:rPr>
          <w:color w:val="231F20"/>
        </w:rPr>
        <w:t>n</w:t>
      </w:r>
      <w:r w:rsidR="0033296F">
        <w:rPr>
          <w:color w:val="231F20"/>
        </w:rPr>
        <w:t>e</w:t>
      </w:r>
      <w:r w:rsidR="0033296F">
        <w:rPr>
          <w:color w:val="231F20"/>
        </w:rPr>
        <w:t>t</w:t>
      </w:r>
      <w:r w:rsidR="0033296F">
        <w:rPr>
          <w:color w:val="231F20"/>
        </w:rPr>
        <w:t>t</w:t>
      </w:r>
      <w:r w:rsidR="0033296F">
        <w:rPr>
          <w:color w:val="231F20"/>
        </w:rPr>
        <w:t>o</w:t>
      </w:r>
      <w:r w:rsidR="0033296F">
        <w:rPr>
          <w:color w:val="231F20"/>
        </w:rPr>
        <w:t>:</w:t>
      </w:r>
      <w:r w:rsidR="0033296F">
        <w:rPr>
          <w:color w:val="231F20"/>
          <w:spacing w:val="-9"/>
        </w:rPr>
        <w:t xml:space="preserve"> </w:t>
      </w:r>
      <w:r w:rsidR="0033296F">
        <w:rPr>
          <w:color w:val="231F20"/>
        </w:rPr>
        <w:t>8</w:t>
      </w:r>
      <w:r w:rsidR="0033296F">
        <w:rPr>
          <w:color w:val="231F20"/>
        </w:rPr>
        <w:t>,</w:t>
      </w:r>
      <w:r w:rsidR="0033296F">
        <w:rPr>
          <w:color w:val="231F20"/>
        </w:rPr>
        <w:t>5</w:t>
      </w:r>
      <w:r w:rsidR="0033296F">
        <w:rPr>
          <w:color w:val="231F20"/>
          <w:spacing w:val="-9"/>
        </w:rPr>
        <w:t xml:space="preserve"> </w:t>
      </w:r>
      <w:r w:rsidR="0033296F">
        <w:rPr>
          <w:color w:val="231F20"/>
        </w:rPr>
        <w:t>g</w:t>
      </w:r>
      <w:r>
        <w:rPr>
          <w:color w:val="231F20"/>
        </w:rPr>
        <w:t xml:space="preserve"> </w:t>
      </w:r>
      <w:r w:rsidR="0033296F">
        <w:rPr>
          <w:color w:val="231F20"/>
        </w:rPr>
        <w:t xml:space="preserve"> </w:t>
      </w:r>
      <w:r>
        <w:rPr>
          <w:color w:val="231F20"/>
        </w:rPr>
        <w:t xml:space="preserve">    </w:t>
      </w:r>
    </w:p>
    <w:p w14:paraId="3FD015A1" w14:textId="1CAA2B93" w:rsidR="00D353B7" w:rsidRDefault="00B44C3C" w:rsidP="00B44C3C">
      <w:pPr>
        <w:pStyle w:val="Tekstpodstawowy"/>
        <w:spacing w:line="302" w:lineRule="auto"/>
        <w:ind w:right="6518"/>
      </w:pPr>
      <w:r>
        <w:rPr>
          <w:color w:val="231F20"/>
        </w:rPr>
        <w:t xml:space="preserve">  </w:t>
      </w:r>
      <w:r w:rsidR="0033296F">
        <w:rPr>
          <w:color w:val="231F20"/>
        </w:rPr>
        <w:t>20 kapsułek</w:t>
      </w:r>
    </w:p>
    <w:p w14:paraId="3BEB92CD" w14:textId="77777777" w:rsidR="00B44C3C" w:rsidRPr="00B44C3C" w:rsidRDefault="00B44C3C">
      <w:pPr>
        <w:pStyle w:val="Tekstpodstawowy"/>
        <w:spacing w:before="132" w:line="302" w:lineRule="auto"/>
        <w:ind w:left="117" w:right="5830"/>
        <w:rPr>
          <w:b/>
          <w:bCs/>
          <w:color w:val="231F20"/>
          <w:spacing w:val="-2"/>
        </w:rPr>
      </w:pPr>
      <w:r w:rsidRPr="00B44C3C">
        <w:rPr>
          <w:b/>
          <w:bCs/>
          <w:color w:val="231F20"/>
          <w:spacing w:val="-2"/>
        </w:rPr>
        <w:t>Producent:</w:t>
      </w:r>
    </w:p>
    <w:p w14:paraId="3FD015A3" w14:textId="0B7FABB9" w:rsidR="00D353B7" w:rsidRDefault="0033296F">
      <w:pPr>
        <w:pStyle w:val="Tekstpodstawowy"/>
        <w:spacing w:before="132" w:line="302" w:lineRule="auto"/>
        <w:ind w:left="117" w:right="5830"/>
      </w:pPr>
      <w:r>
        <w:rPr>
          <w:color w:val="231F20"/>
          <w:spacing w:val="-2"/>
        </w:rPr>
        <w:t>BioceriQ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Pharm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sp.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o.o. </w:t>
      </w:r>
      <w:r>
        <w:rPr>
          <w:color w:val="231F20"/>
        </w:rPr>
        <w:t>ul. Potażowa 43A</w:t>
      </w:r>
    </w:p>
    <w:p w14:paraId="3FD015A6" w14:textId="36F65A51" w:rsidR="00D353B7" w:rsidRPr="001635F9" w:rsidRDefault="0033296F" w:rsidP="001635F9">
      <w:pPr>
        <w:pStyle w:val="Tekstpodstawowy"/>
        <w:spacing w:line="205" w:lineRule="exact"/>
        <w:ind w:left="117"/>
      </w:pPr>
      <w:r>
        <w:rPr>
          <w:color w:val="231F20"/>
          <w:w w:val="105"/>
        </w:rPr>
        <w:t>02-400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spacing w:val="-2"/>
          <w:w w:val="105"/>
        </w:rPr>
        <w:t>Warszaw</w:t>
      </w:r>
      <w:r w:rsidR="001635F9">
        <w:rPr>
          <w:color w:val="231F20"/>
          <w:spacing w:val="-2"/>
          <w:w w:val="105"/>
        </w:rPr>
        <w:t>a</w:t>
      </w:r>
    </w:p>
    <w:p w14:paraId="3FD015A7" w14:textId="77777777" w:rsidR="00D353B7" w:rsidRDefault="00D353B7">
      <w:pPr>
        <w:pStyle w:val="Tekstpodstawowy"/>
        <w:rPr>
          <w:sz w:val="20"/>
        </w:rPr>
      </w:pPr>
    </w:p>
    <w:p w14:paraId="3FD015A8" w14:textId="77777777" w:rsidR="00D353B7" w:rsidRDefault="00D353B7">
      <w:pPr>
        <w:pStyle w:val="Tekstpodstawowy"/>
        <w:rPr>
          <w:sz w:val="20"/>
        </w:rPr>
      </w:pPr>
    </w:p>
    <w:p w14:paraId="3FD015A9" w14:textId="77777777" w:rsidR="00D353B7" w:rsidRDefault="00D353B7">
      <w:pPr>
        <w:pStyle w:val="Tekstpodstawowy"/>
        <w:rPr>
          <w:sz w:val="20"/>
        </w:rPr>
      </w:pPr>
    </w:p>
    <w:p w14:paraId="3FD015AB" w14:textId="3B403A5F" w:rsidR="00D353B7" w:rsidRDefault="00D353B7" w:rsidP="000A4D99">
      <w:pPr>
        <w:pStyle w:val="Tekstpodstawowy"/>
        <w:spacing w:before="79"/>
        <w:rPr>
          <w:sz w:val="28"/>
        </w:rPr>
      </w:pPr>
    </w:p>
    <w:sectPr w:rsidR="00D353B7">
      <w:pgSz w:w="9080" w:h="11910"/>
      <w:pgMar w:top="480" w:right="460" w:bottom="560" w:left="440" w:header="0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15D7" w14:textId="77777777" w:rsidR="0033296F" w:rsidRDefault="0033296F">
      <w:r>
        <w:separator/>
      </w:r>
    </w:p>
  </w:endnote>
  <w:endnote w:type="continuationSeparator" w:id="0">
    <w:p w14:paraId="3FD015D9" w14:textId="77777777" w:rsidR="0033296F" w:rsidRDefault="0033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15D2" w14:textId="77777777" w:rsidR="00D353B7" w:rsidRDefault="0033296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D015D3" wp14:editId="3FD015D4">
              <wp:simplePos x="0" y="0"/>
              <wp:positionH relativeFrom="page">
                <wp:posOffset>2178395</wp:posOffset>
              </wp:positionH>
              <wp:positionV relativeFrom="page">
                <wp:posOffset>7187304</wp:posOffset>
              </wp:positionV>
              <wp:extent cx="1403350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015D5" w14:textId="24942EBB" w:rsidR="00D353B7" w:rsidRDefault="00D353B7" w:rsidP="001635F9">
                          <w:pPr>
                            <w:spacing w:before="27" w:line="249" w:lineRule="auto"/>
                            <w:ind w:right="18"/>
                            <w:rPr>
                              <w:i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015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1.55pt;margin-top:565.95pt;width:110.5pt;height:1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" filled="f" stroked="f">
              <v:textbox inset="0,0,0,0">
                <w:txbxContent>
                  <w:p w14:paraId="3FD015D5" w14:textId="24942EBB" w:rsidR="00D353B7" w:rsidRDefault="00D353B7" w:rsidP="001635F9">
                    <w:pPr>
                      <w:spacing w:before="27" w:line="249" w:lineRule="auto"/>
                      <w:ind w:right="18"/>
                      <w:rPr>
                        <w:i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15D3" w14:textId="77777777" w:rsidR="0033296F" w:rsidRDefault="0033296F">
      <w:r>
        <w:separator/>
      </w:r>
    </w:p>
  </w:footnote>
  <w:footnote w:type="continuationSeparator" w:id="0">
    <w:p w14:paraId="3FD015D5" w14:textId="77777777" w:rsidR="0033296F" w:rsidRDefault="0033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3B7"/>
    <w:rsid w:val="00046FDC"/>
    <w:rsid w:val="000A4D99"/>
    <w:rsid w:val="000B3763"/>
    <w:rsid w:val="000F33B9"/>
    <w:rsid w:val="000F75EA"/>
    <w:rsid w:val="001206E9"/>
    <w:rsid w:val="00133FA3"/>
    <w:rsid w:val="001635F9"/>
    <w:rsid w:val="001A7C78"/>
    <w:rsid w:val="001D67C9"/>
    <w:rsid w:val="0033296F"/>
    <w:rsid w:val="00332E98"/>
    <w:rsid w:val="0043507C"/>
    <w:rsid w:val="00453149"/>
    <w:rsid w:val="00464654"/>
    <w:rsid w:val="004C4AA2"/>
    <w:rsid w:val="004D5BC5"/>
    <w:rsid w:val="00621291"/>
    <w:rsid w:val="00846E84"/>
    <w:rsid w:val="009D6579"/>
    <w:rsid w:val="009E4E39"/>
    <w:rsid w:val="00A0030F"/>
    <w:rsid w:val="00A33AD7"/>
    <w:rsid w:val="00AD7C4D"/>
    <w:rsid w:val="00B203A7"/>
    <w:rsid w:val="00B44C3C"/>
    <w:rsid w:val="00D353B7"/>
    <w:rsid w:val="00D90CB8"/>
    <w:rsid w:val="00D97A99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01574"/>
  <w15:docId w15:val="{F42C5608-4A59-4757-9156-DB9D945A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26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32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A4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D9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D9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Marciniak</cp:lastModifiedBy>
  <cp:revision>62</cp:revision>
  <dcterms:created xsi:type="dcterms:W3CDTF">2025-04-18T12:22:00Z</dcterms:created>
  <dcterms:modified xsi:type="dcterms:W3CDTF">2025-04-23T05:19:00Z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2025-04-18T00:00:00Z</vt:filetime>
  </property>
  <property fmtid="{D5CDD505-2E9C-101B-9397-08002B2CF9AE}" pid="5" name="Producer">
    <vt:lpwstr>Adobe PDF Library 15.0</vt:lpwstr>
  </property>
</Properties>
</file>