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B6E0" w14:textId="1EFE9515" w:rsidR="00AA05D4" w:rsidRPr="00AA05D4" w:rsidRDefault="00AA05D4" w:rsidP="00AA05D4">
      <w:pPr>
        <w:rPr>
          <w:b/>
          <w:bCs/>
        </w:rPr>
      </w:pPr>
      <w:r w:rsidRPr="00AA05D4">
        <w:rPr>
          <w:b/>
          <w:bCs/>
        </w:rPr>
        <w:t>ProktiQ</w:t>
      </w:r>
      <w:r w:rsidR="00052F62">
        <w:rPr>
          <w:b/>
          <w:bCs/>
        </w:rPr>
        <w:t xml:space="preserve"> EMULGEL</w:t>
      </w:r>
      <w:r w:rsidRPr="00AA05D4">
        <w:rPr>
          <w:b/>
          <w:bCs/>
        </w:rPr>
        <w:t xml:space="preserve"> – ulga w zaburzeniach odbytu i odbytnicy</w:t>
      </w:r>
    </w:p>
    <w:p w14:paraId="7180946A" w14:textId="77777777" w:rsidR="00AA05D4" w:rsidRDefault="00AA05D4" w:rsidP="00AA05D4">
      <w:pPr>
        <w:jc w:val="both"/>
      </w:pPr>
      <w:r w:rsidRPr="00AA05D4">
        <w:rPr>
          <w:b/>
          <w:bCs/>
        </w:rPr>
        <w:t>ProktiQ</w:t>
      </w:r>
      <w:r w:rsidRPr="00AA05D4">
        <w:t xml:space="preserve"> to wyrób medyczny przeznaczony do stosowania w zaburzeniach odbytu i odbytnicy, takich jak </w:t>
      </w:r>
      <w:r w:rsidRPr="00AA05D4">
        <w:rPr>
          <w:b/>
          <w:bCs/>
        </w:rPr>
        <w:t>hemoroidy zewnętrzne, świąd i pieczenie okolic odbytu</w:t>
      </w:r>
      <w:r w:rsidRPr="00AA05D4">
        <w:t xml:space="preserve">. Dzięki specjalnie opracowanej formule żel tworzy </w:t>
      </w:r>
      <w:r w:rsidRPr="00AA05D4">
        <w:rPr>
          <w:b/>
          <w:bCs/>
        </w:rPr>
        <w:t>niewidoczny film ochronny</w:t>
      </w:r>
      <w:r w:rsidRPr="00AA05D4">
        <w:t>, który pomaga przywrócić prawidłowy poziom nawilżenia oraz naturalny komfort błon śluzowych. Regularne stosowanie pozwala szybko zmniejszyć uczucie dyskomfortu i podrażnienia.</w:t>
      </w:r>
    </w:p>
    <w:p w14:paraId="04B39668" w14:textId="6CCA9373" w:rsidR="00AA05D4" w:rsidRPr="00AA05D4" w:rsidRDefault="00AA05D4" w:rsidP="00AA05D4">
      <w:pPr>
        <w:jc w:val="both"/>
      </w:pPr>
    </w:p>
    <w:p w14:paraId="789DBDE3" w14:textId="77777777" w:rsidR="00AA05D4" w:rsidRPr="00AA05D4" w:rsidRDefault="00DD406C" w:rsidP="00AA05D4">
      <w:r>
        <w:pict w14:anchorId="57FD0566">
          <v:rect id="_x0000_i1025" style="width:0;height:1.5pt" o:hralign="center" o:hrstd="t" o:hr="t" fillcolor="#a0a0a0" stroked="f"/>
        </w:pict>
      </w:r>
    </w:p>
    <w:p w14:paraId="568AB0D0" w14:textId="77777777" w:rsidR="00AA05D4" w:rsidRPr="00AA05D4" w:rsidRDefault="00AA05D4" w:rsidP="00AA05D4">
      <w:pPr>
        <w:rPr>
          <w:b/>
          <w:bCs/>
        </w:rPr>
      </w:pPr>
      <w:r w:rsidRPr="00AA05D4">
        <w:rPr>
          <w:b/>
          <w:bCs/>
        </w:rPr>
        <w:t>Jak działa ProktiQ?</w:t>
      </w:r>
    </w:p>
    <w:p w14:paraId="4F6843F8" w14:textId="77777777" w:rsidR="00056BE8" w:rsidRDefault="00AA05D4" w:rsidP="00AA05D4">
      <w:r w:rsidRPr="00AA05D4">
        <w:rPr>
          <w:rFonts w:ascii="Segoe UI Symbol" w:hAnsi="Segoe UI Symbol" w:cs="Segoe UI Symbol"/>
        </w:rPr>
        <w:t>✔</w:t>
      </w:r>
      <w:r w:rsidRPr="00AA05D4">
        <w:t xml:space="preserve"> </w:t>
      </w:r>
      <w:r w:rsidRPr="00AA05D4">
        <w:rPr>
          <w:b/>
          <w:bCs/>
        </w:rPr>
        <w:t>Tworzy barierę ochronną</w:t>
      </w:r>
      <w:r w:rsidRPr="00AA05D4">
        <w:t xml:space="preserve"> – żel pozostawia delikatną powłokę, która zabezpiecza skórę i błony śluzowe przed podrażnieniem.</w:t>
      </w:r>
      <w:r w:rsidRPr="00AA05D4">
        <w:br/>
      </w:r>
      <w:r w:rsidRPr="00AA05D4">
        <w:rPr>
          <w:rFonts w:ascii="Segoe UI Symbol" w:hAnsi="Segoe UI Symbol" w:cs="Segoe UI Symbol"/>
        </w:rPr>
        <w:t>✔</w:t>
      </w:r>
      <w:r w:rsidRPr="00AA05D4">
        <w:t xml:space="preserve"> </w:t>
      </w:r>
      <w:r w:rsidRPr="00AA05D4">
        <w:rPr>
          <w:b/>
          <w:bCs/>
        </w:rPr>
        <w:t>Działa kojąco i łagodząco</w:t>
      </w:r>
      <w:r w:rsidRPr="00AA05D4">
        <w:t xml:space="preserve"> – zawarte ekstrakty roślinne (m.in. ślaz, aloes, rumianek, nostrzyk, oczar wirginijski) wspierają redukcję dyskomfortu.</w:t>
      </w:r>
      <w:r w:rsidRPr="00AA05D4">
        <w:br/>
      </w:r>
      <w:r w:rsidRPr="00AA05D4">
        <w:rPr>
          <w:rFonts w:ascii="Segoe UI Symbol" w:hAnsi="Segoe UI Symbol" w:cs="Segoe UI Symbol"/>
        </w:rPr>
        <w:t>✔</w:t>
      </w:r>
      <w:r w:rsidRPr="00AA05D4">
        <w:t xml:space="preserve"> </w:t>
      </w:r>
      <w:r w:rsidRPr="00AA05D4">
        <w:rPr>
          <w:b/>
          <w:bCs/>
        </w:rPr>
        <w:t>Wspomaga prawidłowe nawilżenie</w:t>
      </w:r>
      <w:r w:rsidRPr="00AA05D4">
        <w:t xml:space="preserve"> – składniki takie jak gliceryna, mocznik, PCA sodu czy kwas mlekowy pomagają przywrócić odpowiednie nawilżenie delikatnej okolicy odbytu.</w:t>
      </w:r>
      <w:r w:rsidRPr="00AA05D4">
        <w:br/>
      </w:r>
      <w:r w:rsidRPr="00AA05D4">
        <w:rPr>
          <w:rFonts w:ascii="Segoe UI Symbol" w:hAnsi="Segoe UI Symbol" w:cs="Segoe UI Symbol"/>
        </w:rPr>
        <w:t>✔</w:t>
      </w:r>
      <w:r w:rsidRPr="00AA05D4">
        <w:t xml:space="preserve"> </w:t>
      </w:r>
      <w:r w:rsidRPr="00AA05D4">
        <w:rPr>
          <w:b/>
          <w:bCs/>
        </w:rPr>
        <w:t>Pomaga</w:t>
      </w:r>
      <w:r>
        <w:t xml:space="preserve"> </w:t>
      </w:r>
      <w:r>
        <w:rPr>
          <w:b/>
          <w:bCs/>
        </w:rPr>
        <w:t>c</w:t>
      </w:r>
      <w:r w:rsidRPr="00AA05D4">
        <w:rPr>
          <w:b/>
          <w:bCs/>
        </w:rPr>
        <w:t>hroni</w:t>
      </w:r>
      <w:r>
        <w:rPr>
          <w:b/>
          <w:bCs/>
        </w:rPr>
        <w:t>ć</w:t>
      </w:r>
      <w:r w:rsidRPr="00AA05D4">
        <w:rPr>
          <w:b/>
          <w:bCs/>
        </w:rPr>
        <w:t xml:space="preserve"> przed przekrwieniem i podrażnieniami</w:t>
      </w:r>
      <w:r w:rsidRPr="00AA05D4">
        <w:t xml:space="preserve"> – dzięki obecności escyny oraz składników łagodzących.</w:t>
      </w:r>
    </w:p>
    <w:p w14:paraId="6E0466B2" w14:textId="77777777" w:rsidR="00056BE8" w:rsidRPr="00407184" w:rsidRDefault="00056BE8" w:rsidP="00056BE8">
      <w:pPr>
        <w:rPr>
          <w:b/>
          <w:bCs/>
        </w:rPr>
      </w:pPr>
      <w:r w:rsidRPr="00407184">
        <w:rPr>
          <w:rFonts w:ascii="Segoe UI Symbol" w:hAnsi="Segoe UI Symbol" w:cs="Segoe UI Symbol"/>
          <w:b/>
          <w:bCs/>
        </w:rPr>
        <w:t>✔</w:t>
      </w:r>
      <w:r w:rsidRPr="00407184">
        <w:rPr>
          <w:b/>
          <w:bCs/>
        </w:rPr>
        <w:t xml:space="preserve"> </w:t>
      </w:r>
      <w:r w:rsidRPr="00591471">
        <w:rPr>
          <w:b/>
          <w:bCs/>
        </w:rPr>
        <w:t>Szybkie wchłanianie</w:t>
      </w:r>
      <w:r>
        <w:rPr>
          <w:b/>
          <w:bCs/>
        </w:rPr>
        <w:t xml:space="preserve"> dzięki formule Emulgel</w:t>
      </w:r>
    </w:p>
    <w:p w14:paraId="21AE0570" w14:textId="0B986306" w:rsidR="00AA05D4" w:rsidRPr="00AA05D4" w:rsidRDefault="00056BE8" w:rsidP="00AA05D4">
      <w:r w:rsidRPr="00407184">
        <w:t>Emulgel nie pozostawia tłustej warstwy i umożliwia wygodne, codzienne stosowanie.</w:t>
      </w:r>
    </w:p>
    <w:p w14:paraId="2C13666A" w14:textId="77777777" w:rsidR="00AA05D4" w:rsidRPr="00AA05D4" w:rsidRDefault="00DD406C" w:rsidP="00AA05D4">
      <w:r>
        <w:pict w14:anchorId="20C509A0">
          <v:rect id="_x0000_i1026" style="width:0;height:1.5pt" o:hralign="center" o:hrstd="t" o:hr="t" fillcolor="#a0a0a0" stroked="f"/>
        </w:pict>
      </w:r>
    </w:p>
    <w:p w14:paraId="5FD5094C" w14:textId="77777777" w:rsidR="004E7EE3" w:rsidRDefault="00AA05D4" w:rsidP="00AA05D4">
      <w:pPr>
        <w:rPr>
          <w:b/>
          <w:bCs/>
        </w:rPr>
      </w:pPr>
      <w:r w:rsidRPr="00AA05D4">
        <w:rPr>
          <w:b/>
          <w:bCs/>
        </w:rPr>
        <w:t>Skład</w:t>
      </w:r>
      <w:r>
        <w:rPr>
          <w:b/>
          <w:bCs/>
        </w:rPr>
        <w:t xml:space="preserve"> –</w:t>
      </w:r>
    </w:p>
    <w:p w14:paraId="7F4CCA58" w14:textId="4D0237FC" w:rsidR="00AA05D4" w:rsidRPr="00AA05D4" w:rsidRDefault="00AA05D4" w:rsidP="00AA05D4">
      <w:pPr>
        <w:rPr>
          <w:b/>
          <w:bCs/>
        </w:rPr>
      </w:pPr>
      <w:r>
        <w:rPr>
          <w:b/>
          <w:bCs/>
        </w:rPr>
        <w:t xml:space="preserve"> </w:t>
      </w:r>
      <w:r w:rsidR="004E7EE3">
        <w:rPr>
          <w:b/>
          <w:bCs/>
        </w:rPr>
        <w:t>N</w:t>
      </w:r>
      <w:r>
        <w:rPr>
          <w:b/>
          <w:bCs/>
        </w:rPr>
        <w:t>ajważniejsze składniki</w:t>
      </w:r>
    </w:p>
    <w:p w14:paraId="3FFB8A01" w14:textId="77777777" w:rsidR="00AA05D4" w:rsidRPr="00AA05D4" w:rsidRDefault="00AA05D4" w:rsidP="00AA05D4">
      <w:pPr>
        <w:numPr>
          <w:ilvl w:val="0"/>
          <w:numId w:val="1"/>
        </w:numPr>
      </w:pPr>
      <w:r w:rsidRPr="00AA05D4">
        <w:rPr>
          <w:b/>
          <w:bCs/>
        </w:rPr>
        <w:t>Woda z liści ślazu dzikiego</w:t>
      </w:r>
      <w:r w:rsidRPr="00AA05D4">
        <w:t xml:space="preserve"> – właściwości łagodzące</w:t>
      </w:r>
    </w:p>
    <w:p w14:paraId="2FEA21E7" w14:textId="77777777" w:rsidR="00AA05D4" w:rsidRPr="00AA05D4" w:rsidRDefault="00AA05D4" w:rsidP="00AA05D4">
      <w:pPr>
        <w:numPr>
          <w:ilvl w:val="0"/>
          <w:numId w:val="1"/>
        </w:numPr>
      </w:pPr>
      <w:r w:rsidRPr="00AA05D4">
        <w:rPr>
          <w:b/>
          <w:bCs/>
        </w:rPr>
        <w:t>Żel z aloesu</w:t>
      </w:r>
      <w:r w:rsidRPr="00AA05D4">
        <w:t xml:space="preserve"> – nawilża i koi</w:t>
      </w:r>
    </w:p>
    <w:p w14:paraId="44237714" w14:textId="77777777" w:rsidR="00AA05D4" w:rsidRPr="00AA05D4" w:rsidRDefault="00AA05D4" w:rsidP="00AA05D4">
      <w:pPr>
        <w:numPr>
          <w:ilvl w:val="0"/>
          <w:numId w:val="1"/>
        </w:numPr>
      </w:pPr>
      <w:r w:rsidRPr="00AA05D4">
        <w:rPr>
          <w:b/>
          <w:bCs/>
        </w:rPr>
        <w:t>Escyna</w:t>
      </w:r>
      <w:r w:rsidRPr="00AA05D4">
        <w:t xml:space="preserve"> – wspomaga zmniejszanie obrzęków</w:t>
      </w:r>
    </w:p>
    <w:p w14:paraId="1F9C2424" w14:textId="77777777" w:rsidR="00AA05D4" w:rsidRPr="00AA05D4" w:rsidRDefault="00AA05D4" w:rsidP="00AA05D4">
      <w:pPr>
        <w:numPr>
          <w:ilvl w:val="0"/>
          <w:numId w:val="1"/>
        </w:numPr>
      </w:pPr>
      <w:r w:rsidRPr="00AA05D4">
        <w:rPr>
          <w:b/>
          <w:bCs/>
        </w:rPr>
        <w:t>Wyciąg z nostrzyka żółtego</w:t>
      </w:r>
      <w:r w:rsidRPr="00AA05D4">
        <w:t xml:space="preserve"> – działanie kojące</w:t>
      </w:r>
    </w:p>
    <w:p w14:paraId="442345CE" w14:textId="77777777" w:rsidR="00AA05D4" w:rsidRPr="00AA05D4" w:rsidRDefault="00AA05D4" w:rsidP="00AA05D4">
      <w:pPr>
        <w:numPr>
          <w:ilvl w:val="0"/>
          <w:numId w:val="1"/>
        </w:numPr>
      </w:pPr>
      <w:r w:rsidRPr="00AA05D4">
        <w:rPr>
          <w:b/>
          <w:bCs/>
        </w:rPr>
        <w:t>Hydrolat z rumianku pospolitego</w:t>
      </w:r>
      <w:r w:rsidRPr="00AA05D4">
        <w:t xml:space="preserve"> – łagodzenie podrażnień</w:t>
      </w:r>
    </w:p>
    <w:p w14:paraId="1839C9AD" w14:textId="77777777" w:rsidR="00AA05D4" w:rsidRPr="00AA05D4" w:rsidRDefault="00AA05D4" w:rsidP="00AA05D4">
      <w:pPr>
        <w:numPr>
          <w:ilvl w:val="0"/>
          <w:numId w:val="1"/>
        </w:numPr>
      </w:pPr>
      <w:r w:rsidRPr="00AA05D4">
        <w:rPr>
          <w:b/>
          <w:bCs/>
        </w:rPr>
        <w:t>Oczar wirginijski</w:t>
      </w:r>
      <w:r w:rsidRPr="00AA05D4">
        <w:t xml:space="preserve"> – naturalne ukojenie</w:t>
      </w:r>
    </w:p>
    <w:p w14:paraId="7BFAC384" w14:textId="77777777" w:rsidR="00AA05D4" w:rsidRPr="00AA05D4" w:rsidRDefault="00AA05D4" w:rsidP="00AA05D4">
      <w:pPr>
        <w:numPr>
          <w:ilvl w:val="0"/>
          <w:numId w:val="1"/>
        </w:numPr>
      </w:pPr>
      <w:r w:rsidRPr="00AA05D4">
        <w:rPr>
          <w:b/>
          <w:bCs/>
        </w:rPr>
        <w:t>Bisabolol, pantenol, niacynamid</w:t>
      </w:r>
      <w:r w:rsidRPr="00AA05D4">
        <w:t xml:space="preserve"> – wspierają regenerację i komfort skóry</w:t>
      </w:r>
    </w:p>
    <w:p w14:paraId="43BE879A" w14:textId="77777777" w:rsidR="00022789" w:rsidRDefault="00022789" w:rsidP="00AA05D4">
      <w:pPr>
        <w:rPr>
          <w:b/>
          <w:bCs/>
        </w:rPr>
      </w:pPr>
    </w:p>
    <w:p w14:paraId="60C2BC04" w14:textId="77777777" w:rsidR="00022789" w:rsidRDefault="00022789" w:rsidP="00AA05D4">
      <w:pPr>
        <w:rPr>
          <w:b/>
          <w:bCs/>
        </w:rPr>
      </w:pPr>
    </w:p>
    <w:p w14:paraId="76A73C5A" w14:textId="7F650020" w:rsidR="00AA05D4" w:rsidRPr="004E7EE3" w:rsidRDefault="00AA05D4" w:rsidP="00AA05D4">
      <w:pPr>
        <w:rPr>
          <w:b/>
          <w:bCs/>
        </w:rPr>
      </w:pPr>
      <w:r w:rsidRPr="004E7EE3">
        <w:rPr>
          <w:b/>
          <w:bCs/>
        </w:rPr>
        <w:lastRenderedPageBreak/>
        <w:t>Pełen skład</w:t>
      </w:r>
    </w:p>
    <w:p w14:paraId="5E2B9EB4" w14:textId="205E24F6" w:rsidR="00AA05D4" w:rsidRPr="00AA05D4" w:rsidRDefault="00AA05D4" w:rsidP="00DD406C">
      <w:pPr>
        <w:jc w:val="both"/>
      </w:pPr>
      <w:r w:rsidRPr="00AA05D4">
        <w:t>woda, woda z liści ślazu dzikiego, żel z aloesu, gliceryna, escyna, wyciąg z nostrzyka żółtego, fenoksyetanol, etyloheksylogliceryna, dioctan glutaminianu tetra-sodu, sorbinian potasu, kwas cytrynowy, glikol propylenowy, hydrolat z rumianku pospolitego, monohydrat glukozy, mleczan sodu, PCA sodu, glicyna, fruktoza, mocznik, niacynamid, inozytol, benzoesan sodu, kwas mlekowy, oczar wirginijski, sorbitol, alkohol benzylowy, hydrolizowane białko pszenicy, pantenol, mleczan mentylu, uwodorniony olej rycynowy PEG-40, akrylany/c10-30 kopolimer kwasu akrylowego, karbomer, olej ze słodkich migdałów, mieszanina tokoferoli, octan tokoferylu, bisabolol, dikaprylan/ dikaprynian glikolu propylenowego, olej z otrębów ryżowych, tokotrienole, trietanolo-amina, mentol, PPG-26-Buteth-26, Trideceth-9, etoksydiglikol.</w:t>
      </w:r>
      <w:r w:rsidRPr="00AA05D4">
        <w:br/>
      </w:r>
    </w:p>
    <w:p w14:paraId="4A74540E" w14:textId="77777777" w:rsidR="00AA05D4" w:rsidRPr="00AA05D4" w:rsidRDefault="00DD406C" w:rsidP="00AA05D4">
      <w:r>
        <w:pict w14:anchorId="420F045C">
          <v:rect id="_x0000_i1027" style="width:0;height:1.5pt" o:hralign="center" o:hrstd="t" o:hr="t" fillcolor="#a0a0a0" stroked="f"/>
        </w:pict>
      </w:r>
    </w:p>
    <w:p w14:paraId="6BC96FCE" w14:textId="77777777" w:rsidR="00AA05D4" w:rsidRPr="00AA05D4" w:rsidRDefault="00AA05D4" w:rsidP="00AA05D4">
      <w:pPr>
        <w:rPr>
          <w:b/>
          <w:bCs/>
        </w:rPr>
      </w:pPr>
      <w:r w:rsidRPr="00AA05D4">
        <w:rPr>
          <w:b/>
          <w:bCs/>
        </w:rPr>
        <w:t>Sposób użycia</w:t>
      </w:r>
    </w:p>
    <w:p w14:paraId="29D3200F" w14:textId="77777777" w:rsidR="00AA05D4" w:rsidRPr="00AA05D4" w:rsidRDefault="00AA05D4" w:rsidP="00AA05D4">
      <w:pPr>
        <w:numPr>
          <w:ilvl w:val="0"/>
          <w:numId w:val="2"/>
        </w:numPr>
      </w:pPr>
      <w:r w:rsidRPr="00AA05D4">
        <w:t>Dokładnie umyć i osuszyć obszar objęty problemem.</w:t>
      </w:r>
    </w:p>
    <w:p w14:paraId="23819A6B" w14:textId="77777777" w:rsidR="00AA05D4" w:rsidRPr="00AA05D4" w:rsidRDefault="00AA05D4" w:rsidP="00AA05D4">
      <w:pPr>
        <w:numPr>
          <w:ilvl w:val="0"/>
          <w:numId w:val="2"/>
        </w:numPr>
      </w:pPr>
      <w:r w:rsidRPr="00AA05D4">
        <w:t>Otworzyć tubkę i przykręcić do niej kaniulę.</w:t>
      </w:r>
    </w:p>
    <w:p w14:paraId="3E0DD2D6" w14:textId="77777777" w:rsidR="00AA05D4" w:rsidRPr="00AA05D4" w:rsidRDefault="00AA05D4" w:rsidP="00AA05D4">
      <w:pPr>
        <w:numPr>
          <w:ilvl w:val="0"/>
          <w:numId w:val="2"/>
        </w:numPr>
      </w:pPr>
      <w:r w:rsidRPr="00AA05D4">
        <w:t>Ścisnąć tubkę, aby wypełnić kaniulę żelem.</w:t>
      </w:r>
    </w:p>
    <w:p w14:paraId="335E3F06" w14:textId="77777777" w:rsidR="00AA05D4" w:rsidRPr="00AA05D4" w:rsidRDefault="00AA05D4" w:rsidP="00AA05D4">
      <w:pPr>
        <w:numPr>
          <w:ilvl w:val="0"/>
          <w:numId w:val="2"/>
        </w:numPr>
      </w:pPr>
      <w:r w:rsidRPr="00AA05D4">
        <w:t>Naciskać tubkę do naniesienia odpowiedniej ilości produktu.</w:t>
      </w:r>
    </w:p>
    <w:p w14:paraId="41A49682" w14:textId="77777777" w:rsidR="00AA05D4" w:rsidRPr="00AA05D4" w:rsidRDefault="00AA05D4" w:rsidP="00AA05D4">
      <w:pPr>
        <w:numPr>
          <w:ilvl w:val="0"/>
          <w:numId w:val="2"/>
        </w:numPr>
      </w:pPr>
      <w:r w:rsidRPr="00AA05D4">
        <w:t xml:space="preserve">Nałożyć </w:t>
      </w:r>
      <w:r w:rsidRPr="00AA05D4">
        <w:rPr>
          <w:b/>
          <w:bCs/>
        </w:rPr>
        <w:t>na obszar zewnętrzny</w:t>
      </w:r>
      <w:r w:rsidRPr="00AA05D4">
        <w:t xml:space="preserve"> odbytu.</w:t>
      </w:r>
    </w:p>
    <w:p w14:paraId="622EBE15" w14:textId="77777777" w:rsidR="00AA05D4" w:rsidRPr="00AA05D4" w:rsidRDefault="00AA05D4" w:rsidP="00AA05D4">
      <w:pPr>
        <w:numPr>
          <w:ilvl w:val="0"/>
          <w:numId w:val="2"/>
        </w:numPr>
      </w:pPr>
      <w:r w:rsidRPr="00AA05D4">
        <w:t>Po użyciu wyjąć, umyć i schować kaniulę.</w:t>
      </w:r>
    </w:p>
    <w:p w14:paraId="363F290F" w14:textId="77777777" w:rsidR="00AA05D4" w:rsidRPr="00AA05D4" w:rsidRDefault="00AA05D4" w:rsidP="00AA05D4">
      <w:pPr>
        <w:numPr>
          <w:ilvl w:val="0"/>
          <w:numId w:val="2"/>
        </w:numPr>
      </w:pPr>
      <w:r w:rsidRPr="00AA05D4">
        <w:t>Upewnić się, że tubka jest prawidłowo zamknięta.</w:t>
      </w:r>
    </w:p>
    <w:p w14:paraId="301700D6" w14:textId="77777777" w:rsidR="00AA05D4" w:rsidRPr="00AA05D4" w:rsidRDefault="00AA05D4" w:rsidP="00AA05D4">
      <w:r w:rsidRPr="00AA05D4">
        <w:t xml:space="preserve">Zalecane stosowanie: </w:t>
      </w:r>
      <w:r w:rsidRPr="00AA05D4">
        <w:rPr>
          <w:b/>
          <w:bCs/>
        </w:rPr>
        <w:t>3–4 razy dziennie</w:t>
      </w:r>
      <w:r w:rsidRPr="00AA05D4">
        <w:t xml:space="preserve"> oraz po każdorazowym umyciu okolicy odbytu.</w:t>
      </w:r>
      <w:r w:rsidRPr="00AA05D4">
        <w:br/>
        <w:t>Po aplikacji unikać wypróżnienia przez 20–30 minut.</w:t>
      </w:r>
      <w:r w:rsidRPr="00AA05D4">
        <w:br/>
      </w:r>
    </w:p>
    <w:p w14:paraId="7D87EA27" w14:textId="77777777" w:rsidR="00AA05D4" w:rsidRPr="00AA05D4" w:rsidRDefault="00DD406C" w:rsidP="00AA05D4">
      <w:r>
        <w:pict w14:anchorId="552710F7">
          <v:rect id="_x0000_i1028" style="width:0;height:1.5pt" o:hralign="center" o:hrstd="t" o:hr="t" fillcolor="#a0a0a0" stroked="f"/>
        </w:pict>
      </w:r>
    </w:p>
    <w:p w14:paraId="622EE742" w14:textId="77777777" w:rsidR="00AA05D4" w:rsidRPr="00AA05D4" w:rsidRDefault="00AA05D4" w:rsidP="00AA05D4">
      <w:pPr>
        <w:rPr>
          <w:b/>
          <w:bCs/>
        </w:rPr>
      </w:pPr>
      <w:r w:rsidRPr="00AA05D4">
        <w:rPr>
          <w:b/>
          <w:bCs/>
        </w:rPr>
        <w:t>Ostrzeżenia</w:t>
      </w:r>
    </w:p>
    <w:p w14:paraId="3C6AAA04" w14:textId="77777777" w:rsidR="00AA05D4" w:rsidRPr="00AA05D4" w:rsidRDefault="00AA05D4" w:rsidP="00AA05D4">
      <w:pPr>
        <w:numPr>
          <w:ilvl w:val="0"/>
          <w:numId w:val="3"/>
        </w:numPr>
      </w:pPr>
      <w:r w:rsidRPr="00AA05D4">
        <w:t xml:space="preserve">Produkt przeznaczony </w:t>
      </w:r>
      <w:r w:rsidRPr="00AA05D4">
        <w:rPr>
          <w:b/>
          <w:bCs/>
        </w:rPr>
        <w:t>do użytku zewnętrznego</w:t>
      </w:r>
      <w:r w:rsidRPr="00AA05D4">
        <w:t>.</w:t>
      </w:r>
    </w:p>
    <w:p w14:paraId="63092987" w14:textId="77777777" w:rsidR="00AA05D4" w:rsidRPr="00AA05D4" w:rsidRDefault="00AA05D4" w:rsidP="00AA05D4">
      <w:pPr>
        <w:numPr>
          <w:ilvl w:val="0"/>
          <w:numId w:val="3"/>
        </w:numPr>
      </w:pPr>
      <w:r w:rsidRPr="00AA05D4">
        <w:t>Nie stosować na rany i uszkodzoną skórę okolicy odbytu.</w:t>
      </w:r>
    </w:p>
    <w:p w14:paraId="718B0438" w14:textId="77777777" w:rsidR="00AA05D4" w:rsidRPr="00AA05D4" w:rsidRDefault="00AA05D4" w:rsidP="00AA05D4">
      <w:pPr>
        <w:numPr>
          <w:ilvl w:val="0"/>
          <w:numId w:val="3"/>
        </w:numPr>
      </w:pPr>
      <w:r w:rsidRPr="00AA05D4">
        <w:t>Przechowywać poza zasięgiem dzieci.</w:t>
      </w:r>
    </w:p>
    <w:p w14:paraId="7D2DD2EC" w14:textId="77777777" w:rsidR="00AA05D4" w:rsidRPr="00AA05D4" w:rsidRDefault="00AA05D4" w:rsidP="00AA05D4">
      <w:pPr>
        <w:numPr>
          <w:ilvl w:val="0"/>
          <w:numId w:val="3"/>
        </w:numPr>
      </w:pPr>
      <w:r w:rsidRPr="00AA05D4">
        <w:t>Nie przekraczać zalecanej dawki.</w:t>
      </w:r>
    </w:p>
    <w:p w14:paraId="6201AE3B" w14:textId="77777777" w:rsidR="00AA05D4" w:rsidRPr="00AA05D4" w:rsidRDefault="00AA05D4" w:rsidP="00AA05D4">
      <w:pPr>
        <w:numPr>
          <w:ilvl w:val="0"/>
          <w:numId w:val="3"/>
        </w:numPr>
      </w:pPr>
      <w:r w:rsidRPr="00AA05D4">
        <w:t>Nie stosować po upływie terminu ważności ani w przypadku uszkodzenia opakowania.</w:t>
      </w:r>
    </w:p>
    <w:p w14:paraId="7585E911" w14:textId="77777777" w:rsidR="00AA05D4" w:rsidRPr="00AA05D4" w:rsidRDefault="00AA05D4" w:rsidP="00AA05D4">
      <w:pPr>
        <w:numPr>
          <w:ilvl w:val="0"/>
          <w:numId w:val="3"/>
        </w:numPr>
      </w:pPr>
      <w:r w:rsidRPr="00AA05D4">
        <w:t>W razie działań niepożądanych przerwać stosowanie i skonsultować się z lekarzem.</w:t>
      </w:r>
    </w:p>
    <w:p w14:paraId="2D4B3700" w14:textId="77777777" w:rsidR="00AA05D4" w:rsidRPr="00AA05D4" w:rsidRDefault="00AA05D4" w:rsidP="00AA05D4">
      <w:pPr>
        <w:numPr>
          <w:ilvl w:val="0"/>
          <w:numId w:val="3"/>
        </w:numPr>
      </w:pPr>
      <w:r w:rsidRPr="00AA05D4">
        <w:lastRenderedPageBreak/>
        <w:t>Kobiety w ciąży, karmiące oraz dzieci – stosować wyłącznie po konsultacji z lekarzem.</w:t>
      </w:r>
    </w:p>
    <w:p w14:paraId="3989BE5C" w14:textId="77777777" w:rsidR="00AA05D4" w:rsidRPr="00AA05D4" w:rsidRDefault="00AA05D4" w:rsidP="00AA05D4">
      <w:pPr>
        <w:numPr>
          <w:ilvl w:val="0"/>
          <w:numId w:val="3"/>
        </w:numPr>
      </w:pPr>
      <w:r w:rsidRPr="00AA05D4">
        <w:t>Produkt jest przeznaczony wyłącznie do użytku jednej osoby.</w:t>
      </w:r>
      <w:r w:rsidRPr="00AA05D4">
        <w:br/>
      </w:r>
    </w:p>
    <w:p w14:paraId="7458B492" w14:textId="77777777" w:rsidR="00AA05D4" w:rsidRPr="00AA05D4" w:rsidRDefault="00DD406C" w:rsidP="00AA05D4">
      <w:r>
        <w:pict w14:anchorId="56C2C1E0">
          <v:rect id="_x0000_i1029" style="width:0;height:1.5pt" o:hralign="center" o:hrstd="t" o:hr="t" fillcolor="#a0a0a0" stroked="f"/>
        </w:pict>
      </w:r>
    </w:p>
    <w:p w14:paraId="0A144D7D" w14:textId="77777777" w:rsidR="00AA05D4" w:rsidRPr="00AA05D4" w:rsidRDefault="00AA05D4" w:rsidP="00AA05D4">
      <w:pPr>
        <w:rPr>
          <w:b/>
          <w:bCs/>
        </w:rPr>
      </w:pPr>
      <w:r w:rsidRPr="00AA05D4">
        <w:rPr>
          <w:b/>
          <w:bCs/>
        </w:rPr>
        <w:t>Postać i opakowanie</w:t>
      </w:r>
    </w:p>
    <w:p w14:paraId="47ED5F0B" w14:textId="77777777" w:rsidR="00AA05D4" w:rsidRPr="00AA05D4" w:rsidRDefault="00AA05D4" w:rsidP="00AA05D4">
      <w:r w:rsidRPr="00AA05D4">
        <w:t xml:space="preserve">Żel w tubce </w:t>
      </w:r>
      <w:r w:rsidRPr="00AA05D4">
        <w:rPr>
          <w:b/>
          <w:bCs/>
        </w:rPr>
        <w:t>30 ml</w:t>
      </w:r>
      <w:r w:rsidRPr="00AA05D4">
        <w:t xml:space="preserve"> z kaniulą wielokrotnego użytku.</w:t>
      </w:r>
      <w:r w:rsidRPr="00AA05D4">
        <w:br/>
      </w:r>
    </w:p>
    <w:p w14:paraId="78641065" w14:textId="77777777" w:rsidR="00AA05D4" w:rsidRPr="00AA05D4" w:rsidRDefault="00DD406C" w:rsidP="00AA05D4">
      <w:r>
        <w:pict w14:anchorId="089488AB">
          <v:rect id="_x0000_i1030" style="width:0;height:1.5pt" o:hralign="center" o:hrstd="t" o:hr="t" fillcolor="#a0a0a0" stroked="f"/>
        </w:pict>
      </w:r>
    </w:p>
    <w:p w14:paraId="31D5E602" w14:textId="77777777" w:rsidR="00AA05D4" w:rsidRPr="00AA05D4" w:rsidRDefault="00AA05D4" w:rsidP="00AA05D4">
      <w:pPr>
        <w:rPr>
          <w:b/>
          <w:bCs/>
        </w:rPr>
      </w:pPr>
      <w:r w:rsidRPr="00AA05D4">
        <w:rPr>
          <w:b/>
          <w:bCs/>
        </w:rPr>
        <w:t>Przechowywanie</w:t>
      </w:r>
    </w:p>
    <w:p w14:paraId="75E5A32E" w14:textId="77777777" w:rsidR="00AA05D4" w:rsidRPr="00AA05D4" w:rsidRDefault="00AA05D4" w:rsidP="00AA05D4">
      <w:r w:rsidRPr="00AA05D4">
        <w:t xml:space="preserve">Przechowywać w temperaturze </w:t>
      </w:r>
      <w:r w:rsidRPr="00AA05D4">
        <w:rPr>
          <w:b/>
          <w:bCs/>
        </w:rPr>
        <w:t>5–25°C</w:t>
      </w:r>
      <w:r w:rsidRPr="00AA05D4">
        <w:t>, z dala od światła i źródeł ciepła, w oryginalnym opakowaniu.</w:t>
      </w:r>
    </w:p>
    <w:p w14:paraId="50B6D6D7" w14:textId="77777777" w:rsidR="00AA05D4" w:rsidRDefault="00AA05D4"/>
    <w:sectPr w:rsidR="00AA0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54CC"/>
    <w:multiLevelType w:val="multilevel"/>
    <w:tmpl w:val="C17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E2605"/>
    <w:multiLevelType w:val="multilevel"/>
    <w:tmpl w:val="72C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101C7"/>
    <w:multiLevelType w:val="multilevel"/>
    <w:tmpl w:val="A176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080157">
    <w:abstractNumId w:val="1"/>
  </w:num>
  <w:num w:numId="2" w16cid:durableId="1330211300">
    <w:abstractNumId w:val="2"/>
  </w:num>
  <w:num w:numId="3" w16cid:durableId="105238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D4"/>
    <w:rsid w:val="00022789"/>
    <w:rsid w:val="00052F62"/>
    <w:rsid w:val="00056BE8"/>
    <w:rsid w:val="004B6397"/>
    <w:rsid w:val="004D3CE3"/>
    <w:rsid w:val="004E7EE3"/>
    <w:rsid w:val="00AA05D4"/>
    <w:rsid w:val="00DD406C"/>
    <w:rsid w:val="00F87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30F7BC"/>
  <w15:chartTrackingRefBased/>
  <w15:docId w15:val="{AB4B31D0-1EB7-493A-A54E-18D03CE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A0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A0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A05D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A05D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05D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A05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05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05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05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05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A05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A05D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A05D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A05D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A05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05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05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05D4"/>
    <w:rPr>
      <w:rFonts w:eastAsiaTheme="majorEastAsia" w:cstheme="majorBidi"/>
      <w:color w:val="272727" w:themeColor="text1" w:themeTint="D8"/>
    </w:rPr>
  </w:style>
  <w:style w:type="paragraph" w:styleId="Tytu">
    <w:name w:val="Title"/>
    <w:basedOn w:val="Normalny"/>
    <w:next w:val="Normalny"/>
    <w:link w:val="TytuZnak"/>
    <w:uiPriority w:val="10"/>
    <w:qFormat/>
    <w:rsid w:val="00AA0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05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05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05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05D4"/>
    <w:pPr>
      <w:spacing w:before="160"/>
      <w:jc w:val="center"/>
    </w:pPr>
    <w:rPr>
      <w:i/>
      <w:iCs/>
      <w:color w:val="404040" w:themeColor="text1" w:themeTint="BF"/>
    </w:rPr>
  </w:style>
  <w:style w:type="character" w:customStyle="1" w:styleId="CytatZnak">
    <w:name w:val="Cytat Znak"/>
    <w:basedOn w:val="Domylnaczcionkaakapitu"/>
    <w:link w:val="Cytat"/>
    <w:uiPriority w:val="29"/>
    <w:rsid w:val="00AA05D4"/>
    <w:rPr>
      <w:i/>
      <w:iCs/>
      <w:color w:val="404040" w:themeColor="text1" w:themeTint="BF"/>
    </w:rPr>
  </w:style>
  <w:style w:type="paragraph" w:styleId="Akapitzlist">
    <w:name w:val="List Paragraph"/>
    <w:basedOn w:val="Normalny"/>
    <w:uiPriority w:val="34"/>
    <w:qFormat/>
    <w:rsid w:val="00AA05D4"/>
    <w:pPr>
      <w:ind w:left="720"/>
      <w:contextualSpacing/>
    </w:pPr>
  </w:style>
  <w:style w:type="character" w:styleId="Wyrnienieintensywne">
    <w:name w:val="Intense Emphasis"/>
    <w:basedOn w:val="Domylnaczcionkaakapitu"/>
    <w:uiPriority w:val="21"/>
    <w:qFormat/>
    <w:rsid w:val="00AA05D4"/>
    <w:rPr>
      <w:i/>
      <w:iCs/>
      <w:color w:val="2F5496" w:themeColor="accent1" w:themeShade="BF"/>
    </w:rPr>
  </w:style>
  <w:style w:type="paragraph" w:styleId="Cytatintensywny">
    <w:name w:val="Intense Quote"/>
    <w:basedOn w:val="Normalny"/>
    <w:next w:val="Normalny"/>
    <w:link w:val="CytatintensywnyZnak"/>
    <w:uiPriority w:val="30"/>
    <w:qFormat/>
    <w:rsid w:val="00AA0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05D4"/>
    <w:rPr>
      <w:i/>
      <w:iCs/>
      <w:color w:val="2F5496" w:themeColor="accent1" w:themeShade="BF"/>
    </w:rPr>
  </w:style>
  <w:style w:type="character" w:styleId="Odwoanieintensywne">
    <w:name w:val="Intense Reference"/>
    <w:basedOn w:val="Domylnaczcionkaakapitu"/>
    <w:uiPriority w:val="32"/>
    <w:qFormat/>
    <w:rsid w:val="00AA0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502</Words>
  <Characters>3013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Marciniak</dc:creator>
  <cp:keywords/>
  <dc:description/>
  <cp:lastModifiedBy>Szymon Marciniak</cp:lastModifiedBy>
  <cp:revision>6</cp:revision>
  <dcterms:created xsi:type="dcterms:W3CDTF">2025-12-01T11:49:00Z</dcterms:created>
  <dcterms:modified xsi:type="dcterms:W3CDTF">2025-12-01T12:22:00Z</dcterms:modified>
</cp:coreProperties>
</file>